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82699" w:rsidRPr="002F2F42" w:rsidRDefault="00182699" w:rsidP="00182699">
      <w:pPr>
        <w:keepNext/>
        <w:pBdr>
          <w:top w:val="nil"/>
          <w:left w:val="nil"/>
          <w:bottom w:val="nil"/>
          <w:right w:val="nil"/>
          <w:between w:val="nil"/>
        </w:pBdr>
        <w:spacing w:before="240" w:after="120" w:line="240" w:lineRule="auto"/>
        <w:rPr>
          <w:b/>
          <w:color w:val="000000"/>
        </w:rPr>
      </w:pPr>
      <w:bookmarkStart w:id="0" w:name="_Toc87553797"/>
      <w:bookmarkStart w:id="1" w:name="_Toc87623096"/>
      <w:bookmarkStart w:id="2" w:name="_Toc104972792"/>
      <w:r w:rsidRPr="002F2F42">
        <w:rPr>
          <w:b/>
          <w:color w:val="000000"/>
        </w:rPr>
        <w:t xml:space="preserve">Table SM.5.3. </w:t>
      </w:r>
      <w:r w:rsidRPr="002F2F42">
        <w:rPr>
          <w:color w:val="000000"/>
        </w:rPr>
        <w:t>Summary of surveillance and diagnostic technologies for invasive alien species management</w:t>
      </w:r>
      <w:bookmarkEnd w:id="0"/>
      <w:bookmarkEnd w:id="1"/>
      <w:bookmarkEnd w:id="2"/>
    </w:p>
    <w:tbl>
      <w:tblPr>
        <w:tblW w:w="9360"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CellMar>
          <w:left w:w="85" w:type="dxa"/>
          <w:bottom w:w="28" w:type="dxa"/>
          <w:right w:w="85" w:type="dxa"/>
        </w:tblCellMar>
        <w:tblLook w:val="04A0" w:firstRow="1" w:lastRow="0" w:firstColumn="1" w:lastColumn="0" w:noHBand="0" w:noVBand="1"/>
      </w:tblPr>
      <w:tblGrid>
        <w:gridCol w:w="1830"/>
        <w:gridCol w:w="7530"/>
      </w:tblGrid>
      <w:tr w:rsidR="00182699" w:rsidTr="004F6786">
        <w:tc>
          <w:tcPr>
            <w:tcW w:w="1830" w:type="dxa"/>
            <w:tcBorders>
              <w:bottom w:val="single" w:sz="4" w:space="0" w:color="808080"/>
            </w:tcBorders>
          </w:tcPr>
          <w:p w:rsidR="00182699" w:rsidRPr="00C0338D" w:rsidRDefault="00182699" w:rsidP="004F6786">
            <w:r w:rsidRPr="00C0338D">
              <w:t>Biosensors and nanotechnology sensors</w:t>
            </w:r>
          </w:p>
        </w:tc>
        <w:tc>
          <w:tcPr>
            <w:tcW w:w="7530" w:type="dxa"/>
            <w:tcBorders>
              <w:bottom w:val="single" w:sz="4" w:space="0" w:color="808080"/>
            </w:tcBorders>
          </w:tcPr>
          <w:p w:rsidR="00182699" w:rsidRPr="00C0338D" w:rsidRDefault="00182699" w:rsidP="004F6786">
            <w:r w:rsidRPr="00C0338D">
              <w:t xml:space="preserve">Combine a biological component with a physicochemical detector (“bioreceptor”) to identify chemical substances and thus aid in monitoring many aspects of plant, animal and human health. Biosensors could play a significant future role in the prevention, detection and management of emergency animal disease outbreaks </w:t>
            </w:r>
            <w:r w:rsidRPr="00837161">
              <w:fldChar w:fldCharType="begin"/>
            </w:r>
            <w:r>
              <w:instrText xml:space="preserve"> ADDIN ZOTERO_ITEM CSL_CITATION {"citationID":"FBPhgSqp","properties":{"formattedCitation":"(Neethirajan et al., 2017)","plainCitation":"(Neethirajan et al., 2017)","noteIndex":0},"citationItems":[{"id":16782,"uris":["http://zotero.org/groups/2352922/items/WDLFMTUY"],"itemData":{"id":16782,"type":"article-journal","abstract":"The term biosensors encompasses devices that have the potential to quantify physiological, immunological and behavioural responses of livestock and multiple animal species. Novel biosensing methodologies offer highly specialised monitoring devices for the specific measurement of individual and multiple parameters covering an animal's physiology as well as monitoring of an animal's environment. These devices are not only highly specific and sensitive for the parameters being analysed, but they are also reliable and easy to use, and can accelerate the monitoring process. Novel biosensors in livestock management provide significant benefits and applications in disease detection and isolation, health monitoring and detection of reproductive cycles, as well as monitoring physiological wellbeing of the animal via analysis of the animal's environment. With the development of integrated systems and the Internet of Things, the continuously monitoring devices are expected to become affordable. The data generated from integrated livestock monitoring is anticipated to assist farmers and the agricultural industry to improve animal productivity in the future. The data is expected to reduce the impact of the livestock industry on the environment, while at the same time driving the new wave towards the improvements of viable farming techniques. This review focusses on the emerging technological advancements in monitoring of livestock health for detailed, precise information on productivity, as well as physiology and well-being. Biosensors will contribute to the 4th revolution in agriculture by incorporating innovative technologies into cost-effective diagnostic methods that can mitigate the potentially catastrophic effects of infectious outbreaks in farmed animals.","container-title":"Biosensors and Bioelectronics","DOI":"10.1016/j.bios.2017.07.015","ISSN":"0956-5663","journalAbbreviation":"Biosensors and Bioelectronics","language":"en","page":"398-407","source":"ScienceDirect","title":"Recent advancement in biosensors technology for animal and livestock health management","URL":"http://www.sciencedirect.com/science/article/pii/S0956566317304633","volume":"98","author":[{"family":"Neethirajan","given":"Suresh"},{"family":"Tuteja","given":"Satish K."},{"family":"Huang","given":"Sheng-Tung"},{"family":"Kelton","given":"David"}],"accessed":{"date-parts":[["2019",12,9]]},"issued":{"date-parts":[["2017",12,15]]}},"label":"page"}],"schema":"https://github.com/citation-style-language/schema/raw/master/csl-citation.json"} </w:instrText>
            </w:r>
            <w:r w:rsidRPr="00837161">
              <w:fldChar w:fldCharType="separate"/>
            </w:r>
            <w:r w:rsidRPr="00271B78">
              <w:t>(</w:t>
            </w:r>
            <w:proofErr w:type="spellStart"/>
            <w:r w:rsidRPr="00271B78">
              <w:t>Neethirajan</w:t>
            </w:r>
            <w:proofErr w:type="spellEnd"/>
            <w:r w:rsidRPr="00271B78">
              <w:t xml:space="preserve"> et al., 2017)</w:t>
            </w:r>
            <w:r w:rsidRPr="00837161">
              <w:fldChar w:fldCharType="end"/>
            </w:r>
            <w:r w:rsidRPr="00837161">
              <w:t>,</w:t>
            </w:r>
            <w:r w:rsidRPr="00C0338D">
              <w:t xml:space="preserve"> with likely comparative benefits for outbreaks of invasive alien species. Nanomaterials can improve the mechanical, electrochemical, optical and magnetic properties of biosensors, leading toward single-molecule biosensors within high-throughput biosensor arrays, one of the challenges of this technology </w:t>
            </w:r>
            <w:r w:rsidRPr="00837161">
              <w:fldChar w:fldCharType="begin"/>
            </w:r>
            <w:r>
              <w:instrText xml:space="preserve"> ADDIN ZOTERO_ITEM CSL_CITATION {"citationID":"s0Tg3FCU","properties":{"formattedCitation":"(Mehrotra, 2016)","plainCitation":"(Mehrotra, 2016)","noteIndex":0},"citationItems":[{"id":16783,"uris":["http://zotero.org/groups/2352922/items/QNC4KPAZ"],"itemData":{"id":16783,"type":"article-journal","abstract":"The various types of biosensors such as enzyme-based, tissue-based, immunosensors, DNA biosensors, thermal and piezoelectric biosensors have been deliberated here to highlight their indispensable applications in multitudinous fields. Some of the popular fields implementing the use of biosensors are food industry to keep a check on its quality and safety, to help distinguish between the natural and artificial; in the fermentation industry and in the saccharification process to detect precise glucose concentrations; in metabolic engineering to enable in vivo monitoring of cellular metabolism. Biosensors and their role in medical science including early stage detection of human interleukin-10 causing heart diseases, rapid detection of human papilloma virus, etc. are important aspects. Fluorescent biosensors play a vital role in drug discovery and in cancer. Biosensor applications are prevalent in the plant biology sector to find out the missing links required in metabolic processes. Other applications are involved in defence, clinical sector, and for marine applications.","container-title":"Journal of Oral Biology and Craniofacial Research","DOI":"10.1016/j.jobcr.2015.12.002","ISSN":"2212-4268","issue":"2","journalAbbreviation":"Journal of Oral Biology and Craniofacial Research","language":"en","page":"153-159","source":"ScienceDirect","title":"Biosensors and their applications – A review","URL":"http://www.sciencedirect.com/science/article/pii/S2212426815001323","volume":"6","author":[{"family":"Mehrotra","given":"Parikha"}],"accessed":{"date-parts":[["2019",12,9]]},"issued":{"date-parts":[["2016",5,1]]}},"label":"page"}],"schema":"https://github.com/citation-style-language/schema/raw/master/csl-citation.json"} </w:instrText>
            </w:r>
            <w:r w:rsidRPr="00837161">
              <w:fldChar w:fldCharType="separate"/>
            </w:r>
            <w:r w:rsidRPr="00271B78">
              <w:t>(Mehrotra, 2016)</w:t>
            </w:r>
            <w:r w:rsidRPr="00837161">
              <w:fldChar w:fldCharType="end"/>
            </w:r>
            <w:r w:rsidRPr="00837161">
              <w:t>.</w:t>
            </w:r>
            <w:r w:rsidRPr="00C0338D">
              <w:t xml:space="preserve"> Other challenges include the development of means by which to enhance the signal-to-noise ratio, and ways to enhance transduction and amplification of the signal.</w:t>
            </w:r>
          </w:p>
          <w:p w:rsidR="00182699" w:rsidRPr="00C0338D" w:rsidRDefault="00182699" w:rsidP="004F6786">
            <w:r w:rsidRPr="00C0338D">
              <w:t>These technologies are in their infancy for invasive alien species applications, so it is hard to understand future constraints. They may be related to policy and regulatory issues and animal ethics issues.</w:t>
            </w:r>
          </w:p>
        </w:tc>
      </w:tr>
      <w:tr w:rsidR="00182699" w:rsidTr="004F6786">
        <w:tc>
          <w:tcPr>
            <w:tcW w:w="1830" w:type="dxa"/>
            <w:tcBorders>
              <w:top w:val="single" w:sz="4" w:space="0" w:color="808080"/>
            </w:tcBorders>
          </w:tcPr>
          <w:p w:rsidR="00182699" w:rsidRPr="00C0338D" w:rsidRDefault="00182699" w:rsidP="004F6786">
            <w:r w:rsidRPr="00C0338D">
              <w:t>CRISPR diagnostics</w:t>
            </w:r>
          </w:p>
        </w:tc>
        <w:tc>
          <w:tcPr>
            <w:tcW w:w="7530" w:type="dxa"/>
            <w:tcBorders>
              <w:top w:val="single" w:sz="4" w:space="0" w:color="808080"/>
            </w:tcBorders>
          </w:tcPr>
          <w:p w:rsidR="00182699" w:rsidRPr="00C0338D" w:rsidRDefault="00182699" w:rsidP="004F6786">
            <w:r w:rsidRPr="00C0338D">
              <w:t xml:space="preserve">Microbial CRISPR and CRISPR-associated (CRISPR-Cas) adaptive immune systems contain programmable endonucleases that can be leveraged for CRISPR-based diagnostics. CRISPR diagnostics is likely to be quickly adopted for the rapid and accurate identification of infectious diseases of plants and animals. </w:t>
            </w:r>
            <w:r w:rsidRPr="002F2F42">
              <w:rPr>
                <w:lang w:val="de-DE"/>
              </w:rPr>
              <w:t xml:space="preserve">Gootenberg et al. </w:t>
            </w:r>
            <w:r w:rsidRPr="00837161">
              <w:fldChar w:fldCharType="begin"/>
            </w:r>
            <w:r>
              <w:rPr>
                <w:lang w:val="de-DE"/>
              </w:rPr>
              <w:instrText xml:space="preserve"> ADDIN ZOTERO_ITEM CSL_CITATION {"citationID":"hUUDzhg5","properties":{"formattedCitation":"(2017)","plainCitation":"(2017)","noteIndex":0},"citationItems":[{"id":16779,"uris":["http://zotero.org/groups/2352922/items/BNEIFHX5"],"itemData":{"id":16779,"type":"article-journal","abstract":"Sensitive and specific CRISPR diagnostics\nMethods are needed that can easily detect nucleic acids that signal the presence of pathogens, even at very low levels. Gootenberg et al. combined the allele-specific sensing ability of CRISPR-Cas13a with recombinase polymerase amplification methods to detect specific RNA and DNA sequences. The method successfully detected attomolar levels of Zika virus, as well as the presence of pathogenic bacteria. It could also be used to perform human genotyping from cell-free DNA.\nScience, this issue p. 438\nRapid, inexpensive, and sensitive nucleic acid detection may aid point-of-care pathogen detection, genotyping, and disease monitoring. The RNA-guided, RNA-targeting clustered regularly interspaced short palindromic repeats (CRISPR) effector Cas13a (previously known as C2c2) exhibits a “collateral effect” of promiscuous ribonuclease activity upon target recognition. We combine the collateral effect of Cas13a with isothermal amplification to establish a CRISPR-based diagnostic (CRISPR-Dx), providing rapid DNA or RNA detection with attomolar sensitivity and single-base mismatch specificity. We use this Cas13a-based molecular detection platform, termed Specific High-Sensitivity Enzymatic Reporter UnLOCKing (SHERLOCK), to detect specific strains of Zika and Dengue virus, distinguish pathogenic bacteria, genotype human DNA, and identify mutations in cell-free tumor DNA. Furthermore, SHERLOCK reaction reagents can be lyophilized for cold-chain independence and long-term storage and be readily reconstituted on paper for field applications.\nAn ortholog of CRISPR-Cas13a/C2c2 can be used as a highly sensitive detector of specific RNA and DNA sequences.\nAn ortholog of CRISPR-Cas13a/C2c2 can be used as a highly sensitive detector of specific RNA and DNA sequences.","container-title":"Science","DOI":"10.1126/science.aam9321","ISSN":"0036-8075, 1095-9203","issue":"6336","language":"en","license":"Copyright © 2017, American Association for the Advancement of Science","note":"PMID: 28408723","page":"438-442","source":"science.sciencemag.org","title":"Nucleic acid detection with CRISPR-Cas13a/C2c2","URL":"https://science.sciencemag.org/content/356/6336/438","volume":"356","author":[{"family":"Gootenberg","given":"Jonathan S."},{"family":"Abudayyeh","given":"Omar O."},{"family":"Lee","given":"Jeong Wook"},{"family":"Essletzbichler","given":"Patrick"},{"family":"Dy","given":"Aaron J."},{"family":"Joung","given":"Julia"},{"family":"Verdine","given":"Vanessa"},{"family":"Donghia","given":"Nina"},{"family":"Daringer","given":"Nichole M."},{"family":"Freije","given":"Catherine A."},{"family":"Myhrvold","given":"Cameron"},{"family":"Bhattacharyya","given":"Roby P."},{"family":"Livny","given":"Jonathan"},{"family":"Regev","given":"Aviv"},{"family":"Koonin","given":"Eugene V."},{"family":"Hung","given":"Deborah T."},{"family":"Sabeti","given":"Pardis C."},{"family":"Collins","given":"James J."},{"family":"Zhang","given":"Feng"}],"accessed":{"date-parts":[["2019",12,9]]},"issued":{"date-parts":[["2017",4,28]]}},"label":"page","suppress-author":true}],"schema":"https://github.com/citation-style-language/schema/raw/master/csl-citation.json"} </w:instrText>
            </w:r>
            <w:r w:rsidRPr="00837161">
              <w:fldChar w:fldCharType="separate"/>
            </w:r>
            <w:r w:rsidRPr="00271B78">
              <w:t>(2017)</w:t>
            </w:r>
            <w:r w:rsidRPr="00837161">
              <w:fldChar w:fldCharType="end"/>
            </w:r>
            <w:r w:rsidRPr="002F2F42">
              <w:t xml:space="preserve"> found that specific high-sensitivity enzymatic reporter unlocking (SHERLOCK), an in vitro nucleic acid detection platform, was also able to detect Zika virus in clinical isolates (serum, urine or saliva). </w:t>
            </w:r>
            <w:r w:rsidRPr="00C0338D">
              <w:t>Further laboratory and clinical work are required to evaluate the performance of CRISPR-based diagnostics in a range of settings – including multiplex point-of-care, which may prove to be its most powerful application.</w:t>
            </w:r>
          </w:p>
          <w:p w:rsidR="00182699" w:rsidRPr="00C0338D" w:rsidRDefault="00182699" w:rsidP="004F6786">
            <w:r w:rsidRPr="00C0338D">
              <w:t xml:space="preserve"> </w:t>
            </w:r>
          </w:p>
        </w:tc>
      </w:tr>
      <w:tr w:rsidR="00182699" w:rsidTr="004F6786">
        <w:tc>
          <w:tcPr>
            <w:tcW w:w="1830" w:type="dxa"/>
          </w:tcPr>
          <w:p w:rsidR="00182699" w:rsidRPr="00C0338D" w:rsidRDefault="00182699" w:rsidP="004F6786">
            <w:r w:rsidRPr="00C0338D">
              <w:t xml:space="preserve">Multiplexed diagnostic </w:t>
            </w:r>
            <w:r w:rsidRPr="00C0338D">
              <w:br/>
              <w:t>real-time handheld tools</w:t>
            </w:r>
          </w:p>
        </w:tc>
        <w:tc>
          <w:tcPr>
            <w:tcW w:w="7530" w:type="dxa"/>
          </w:tcPr>
          <w:p w:rsidR="00182699" w:rsidRPr="00C0338D" w:rsidRDefault="00182699" w:rsidP="004F6786">
            <w:r w:rsidRPr="00C0338D">
              <w:t xml:space="preserve">Multiplexed point-of-care testing describes the simultaneous on-site detection of different analytes from a single specimen </w:t>
            </w:r>
            <w:r w:rsidRPr="00837161">
              <w:fldChar w:fldCharType="begin"/>
            </w:r>
            <w:r>
              <w:instrText xml:space="preserve"> ADDIN ZOTERO_ITEM CSL_CITATION {"citationID":"GHpcEHBs","properties":{"formattedCitation":"(Dincer et al., 2017)","plainCitation":"(Dincer et al., 2017)","noteIndex":0},"citationItems":[{"id":16778,"uris":["http://zotero.org/groups/2352922/items/BKD3VUSD"],"itemData":{"id":16778,"type":"article-journal","abstract":"Multiplexed point-of-care testing (xPOCT), which is simultaneous on-site detection of different analytes from a single specimen, has recently gained increasing importance for clinical diagnostics, with emerging applications in resource-limited settings (such as in the developing world, in doctors’ offices, or directly at home). Nevertheless, only single-analyte approaches are typically considered as the major paradigm in many reviews of point-of-care testing. Here, we comprehensively review the present diagnostic systems and techniques for xPOCT applications. Different multiplexing technologies (e.g., bead- or array-based systems) are considered along with their detection methods (e.g., electrochemical or optical). We also address the unmet needs and challenges of xPOCT. Finally, we critically summarize the in-field applicability and the future perspectives of the presented approaches.","container-title":"Trends in Biotechnology","DOI":"10.1016/j.tibtech.2017.03.013","ISSN":"0167-7799","issue":"8","journalAbbreviation":"Trends in Biotechnology","language":"en","page":"728-742","source":"ScienceDirect","title":"Multiplexed Point-of-Care Testing – xPOCT","URL":"http://www.sciencedirect.com/science/article/pii/S0167779917300628","volume":"35","author":[{"family":"Dincer","given":"Can"},{"family":"Bruch","given":"Richard"},{"family":"Kling","given":"André"},{"family":"Dittrich","given":"Petra S."},{"family":"Urban","given":"Gerald A."}],"accessed":{"date-parts":[["2019",12,9]]},"issued":{"date-parts":[["2017",8,1]]}},"label":"page"}],"schema":"https://github.com/citation-style-language/schema/raw/master/csl-citation.json"} </w:instrText>
            </w:r>
            <w:r w:rsidRPr="00837161">
              <w:fldChar w:fldCharType="separate"/>
            </w:r>
            <w:r w:rsidRPr="00271B78">
              <w:t>(</w:t>
            </w:r>
            <w:proofErr w:type="spellStart"/>
            <w:r w:rsidRPr="00271B78">
              <w:t>Dincer</w:t>
            </w:r>
            <w:proofErr w:type="spellEnd"/>
            <w:r w:rsidRPr="00271B78">
              <w:t xml:space="preserve"> et al., 2017)</w:t>
            </w:r>
            <w:r w:rsidRPr="00837161">
              <w:fldChar w:fldCharType="end"/>
            </w:r>
            <w:r w:rsidRPr="00837161">
              <w:t>.</w:t>
            </w:r>
            <w:r w:rsidRPr="00C0338D">
              <w:t xml:space="preserve"> This approach has recently gained increasing importance for clinical diagnostics, with emerging applications in resource-limited settings such as found in remote locations. Plant and animal disease diagnostics can be undertaken in real time in field settings including a capacity to test for a range of diseases at the same time. Ideally, the system should be able to </w:t>
            </w:r>
            <w:proofErr w:type="spellStart"/>
            <w:r w:rsidRPr="00C0338D">
              <w:t>analyse</w:t>
            </w:r>
            <w:proofErr w:type="spellEnd"/>
            <w:r w:rsidRPr="00C0338D">
              <w:t xml:space="preserve"> different types of compounds simultaneously – for example, RNAs, metabolites, proteins, exosomes and cells – and should provide accurate results in all cases. Handheld portal devices have now come in the market that can be used for aspects of this approach (e.g., </w:t>
            </w:r>
            <w:proofErr w:type="spellStart"/>
            <w:r w:rsidRPr="00C0338D">
              <w:t>MinION</w:t>
            </w:r>
            <w:proofErr w:type="spellEnd"/>
            <w:r w:rsidRPr="00C0338D">
              <w:t xml:space="preserve"> for portable real-time device for DNA and RNA sequencing).</w:t>
            </w:r>
          </w:p>
        </w:tc>
      </w:tr>
      <w:tr w:rsidR="00182699" w:rsidTr="004F6786">
        <w:tc>
          <w:tcPr>
            <w:tcW w:w="1830" w:type="dxa"/>
          </w:tcPr>
          <w:p w:rsidR="00182699" w:rsidRPr="00C0338D" w:rsidRDefault="00182699" w:rsidP="004F6786">
            <w:r w:rsidRPr="00C0338D">
              <w:t>Disease mRNA biomarkers</w:t>
            </w:r>
          </w:p>
        </w:tc>
        <w:tc>
          <w:tcPr>
            <w:tcW w:w="7530" w:type="dxa"/>
          </w:tcPr>
          <w:p w:rsidR="00182699" w:rsidRPr="00C0338D" w:rsidRDefault="00182699" w:rsidP="004F6786">
            <w:r w:rsidRPr="00837161">
              <w:t xml:space="preserve">A biomarker is a signal released as a component of an organism’s response to a particular pathogenic agent or pathogenic process, and thus indicative of the presence of that pathogen or process. Complex biomarkers have now been identified for the sensitive detection of diseases or processes at a stage </w:t>
            </w:r>
            <w:r w:rsidRPr="00837161">
              <w:lastRenderedPageBreak/>
              <w:t xml:space="preserve">when they may otherwise have been difficult to identify. Biomarkers are naturally linked to biosensors. Biosensors use a bioreceptor to identify the biomarker, and a transducer to transmit the signal to a receiver that can then interpret and display the outcome. Biosensors based on biomarkers could be deployed alone, or in complex sensor networks. They could also be deployed on unmanned ground-based, aerial or underwater vehicles. Examples by </w:t>
            </w:r>
            <w:proofErr w:type="spellStart"/>
            <w:r w:rsidRPr="00837161">
              <w:t>Cowled</w:t>
            </w:r>
            <w:proofErr w:type="spellEnd"/>
            <w:r w:rsidRPr="00837161">
              <w:t xml:space="preserve"> et al. </w:t>
            </w:r>
            <w:r w:rsidRPr="00837161">
              <w:fldChar w:fldCharType="begin"/>
            </w:r>
            <w:r>
              <w:instrText xml:space="preserve"> ADDIN ZOTERO_ITEM CSL_CITATION {"citationID":"MnKM4c42","properties":{"formattedCitation":"(2017)","plainCitation":"(2017)","noteIndex":0},"citationItems":[{"id":16775,"uris":["http://zotero.org/groups/2352922/items/LFCEA3RT"],"itemData":{"id":16775,"type":"article-journal","abstract":"Hendra virus (HeV) is an emerging zoonotic pathogen harbored by Australian mainland flying foxes. HeV infection can cause lethal disease in humans and horses, and to date all cases of human HeV disease have resulted from contact with infected horses. Currently, diagnosis of acute HeV infections in horses relies on the productive phase of infection when virus shedding may occur. An assay that identifies infected horses during the preclinical phase of infection would reduce the risk of zoonotic viral transmission during management of HeV outbreaks. Having previously shown that the host microRNA (miR)-146a is upregulated in the blood of HeV-infected horses days prior to the detection of viremia, we have profiled miRNAs at the transcriptome-wide level to comprehensively assess differences between infected and uninfected horses. Next-generation sequencing and the miRDeep2 algorithm identified 742 mature miRNA transcripts corresponding to 593 miRNAs in whole blood of six horses (three HeV-infected, three uninfected). Thirty seven miRNAs were differentially expressed in infected horses, two of which were validated by qRT-PCR. This study describes a methodology for the transcriptome-wide profiling of miRNAs in whole blood and supports the notion that measuring host miRNA expression levels may aid infectious disease diagnosis in the future.","container-title":"Scientific Reports","DOI":"10.1038/s41598-017-06939-w","ISSN":"2045-2322","issue":"1","journalAbbreviation":"Sci Rep","language":"en","license":"2017 The Author(s)","page":"7431","source":"www.nature.com","title":"Circulating microRNA profiles of Hendra virus infection in horses","URL":"https://www.nature.com/articles/s41598-017-06939-w","volume":"7","author":[{"family":"Cowled","given":"Christopher"},{"family":"Foo","given":"Chwan-Hong"},{"family":"Deffrasnes","given":"Celine"},{"family":"Rootes","given":"Christina L."},{"family":"Williams","given":"David T."},{"family":"Middleton","given":"Deborah"},{"family":"Wang","given":"Lin-Fa"},{"family":"Bean","given":"Andrew G. D."},{"family":"Stewart","given":"Cameron R."}],"accessed":{"date-parts":[["2019",12,9]]},"issued":{"date-parts":[["2017",8,7]]}},"label":"page","suppress-author":true}],"schema":"https://github.com/citation-style-language/schema/raw/master/csl-citation.json"} </w:instrText>
            </w:r>
            <w:r w:rsidRPr="00837161">
              <w:fldChar w:fldCharType="separate"/>
            </w:r>
            <w:r w:rsidRPr="00271B78">
              <w:t>(2017)</w:t>
            </w:r>
            <w:r w:rsidRPr="00837161">
              <w:fldChar w:fldCharType="end"/>
            </w:r>
            <w:r w:rsidRPr="00837161">
              <w:t xml:space="preserve"> and </w:t>
            </w:r>
            <w:proofErr w:type="spellStart"/>
            <w:r w:rsidRPr="00837161">
              <w:t>Barkema</w:t>
            </w:r>
            <w:proofErr w:type="spellEnd"/>
            <w:r w:rsidRPr="00837161">
              <w:t xml:space="preserve"> et al. </w:t>
            </w:r>
            <w:r w:rsidRPr="00837161">
              <w:fldChar w:fldCharType="begin"/>
            </w:r>
            <w:r>
              <w:instrText xml:space="preserve"> ADDIN ZOTERO_ITEM CSL_CITATION {"citationID":"a6GmVlke","properties":{"formattedCitation":"(2018)","plainCitation":"(2018)","noteIndex":0},"citationItems":[{"id":16777,"uris":["http://zotero.org/groups/2352922/items/RC4LQ88C"],"itemData":{"id":16777,"type":"article-journal","abstract":"In the last decades, many regional and country-wide control programmes for Johne's disease (JD) were developed due to associated economic losses, or because of a possible association with Crohn's disease. These control programmes were often not successful, partly because management protocols were not followed, including the introduction of infected replacement cattle, because tests to identify infected animals were unreliable, and uptake by farmers was not high enough because of a perceived low return on investment. In the absence of a cure or effective commercial vaccines, control of JD is currently primarily based on herd management strategies to avoid infection of cattle and restrict within-farm and farm-to-farm transmission. Although JD control programmes have been implemented in most developed countries, lessons learned from JD prevention and control programmes are underreported. Also, JD control programmes are typically evaluated in a limited number of herds and the duration of the study is less than 5 year, making it difficult to adequately assess the efficacy of control programmes. In this manuscript, we identify the most important gaps in knowledge hampering JD prevention and control programmes, including vaccination and diagnostics. Secondly, we discuss directions that research should take to address those knowledge gaps.","container-title":"Transboundary and Emerging Diseases","DOI":"10.1111/tbed.12723","ISSN":"1865-1682","issue":"S1","language":"en","license":"</w:instrText>
            </w:r>
            <w:r>
              <w:rPr>
                <w:rFonts w:hint="eastAsia"/>
              </w:rPr>
              <w:instrText>©</w:instrText>
            </w:r>
            <w:r>
              <w:instrText xml:space="preserve"> 2017 Blackwell Verlag GmbH","page":"125-148","source":"Wiley Online Library","title":"Knowledge gaps that hamper prevention and control of &lt;i&gt;Mycobacterium avium&lt;/i&gt; subspecies &lt;i&gt;paratuberculosis&lt;/i&gt; infection","URL":"https://onlinelibrary.wiley.com/doi/abs/10.1111/tbed.12723","volume":"65","author":[{"family":"Barkema","given":"H. W."},{"family":"Orsel","given":"K."},{"family":"Nielsen","given":"S. S."},{"family":"Koets","given":"A. P."},{"family":"Rutten","given":"V. P. M. G."},{"family":"Bannantine","given":"J. P."},{"family":"Keefe","given":"G. P."},{"family":"Kelton","given":"D. F."},{"family":"Wells","given":"S. J."},{"family":"Whittington","given":"R. J."},{"family":"Mackintosh","given":"C. G."},{"family":"Manning","given":"E. J."},{"family":"Weber","given":"M. F."},{"family":"Heuer","given":"C."},{"family":"Forde","given":"T. L."},{"family":"Ritter","given":"C."},{"family":"Roche","given":"S."},{"family":"Corbett","given":"C. S."},{"family":"Wolf","given":"R."},{"family":"Griebel","given":"P. J."},{"family":"Kastelic","given":"J. P."},{"family":"De Buck","given":"J."}],"accessed":{"date-parts":[["2019",12,9]]},"issued":{"date-parts":[["2018"]]}},"label":"page","suppress-author":true}],"schema":"https://github.com/citation-style-language/schema/raw/master/csl-citation.json"} </w:instrText>
            </w:r>
            <w:r w:rsidRPr="00837161">
              <w:fldChar w:fldCharType="separate"/>
            </w:r>
            <w:r w:rsidRPr="00271B78">
              <w:t>(2018)</w:t>
            </w:r>
            <w:r w:rsidRPr="00837161">
              <w:fldChar w:fldCharType="end"/>
            </w:r>
            <w:r w:rsidRPr="00837161">
              <w:t xml:space="preserve"> show application in animal diseases. Potentially, the approach could also be applied to the rapid detection of some key plant diseases, as miRNA responses are known to occur for viral infections </w:t>
            </w:r>
            <w:r w:rsidRPr="00837161">
              <w:fldChar w:fldCharType="begin"/>
            </w:r>
            <w:r>
              <w:instrText xml:space="preserve"> ADDIN ZOTERO_ITEM CSL_CITATION {"citationID":"gv4DIhDg","properties":{"formattedCitation":"(Zhou &amp; Luo, 2013)","plainCitation":"(Zhou &amp; Luo, 2013)","noteIndex":0},"citationItems":[{"id":24109,"uris":["http://zotero.org/groups/2352922/items/NBEN6E9N"],"itemData":{"id":24109,"type":"article-journal","abstract":"Food security is one of the most important issues challenging the world today. Any strategies to solve this problem must include increasing crop yields and quality. MicroRNA-based genetic modification technology (miRNA-based GM tech) can be one of the most promising solutions that contribute to agricultural productivity directly by developing superior crop cultivars with enhanced biotic and abiotic stress tolerance and increased biomass yields. Indirectly, the technology may increase usage of marginal soils and decrease pesticide use, among other benefits. This review highlights the most recent progress of transgenic studies utilizing various miRNAs and their targets for plant trait modifications, and analyzes the potential of miRNA-mediated gene regulation for use in crop improvement. Strategies for manipulating miRNAs and their targets in transgenic plants including constitutive, stress-induced, or tissue-specific expression of miRNAs or their targets, RNA interference, expressing miRNA-resistant target genes, artificial target mimic and artificial miRNAs were discussed. We also discussed potential risks of utilizing miRNA-based GM tech. In general, miRNAs and their targets not only provide an invaluable source of novel transgenes, but also inspire the development of several new GM strategies, allowing advances in breeding novel crop cultivars with agronomically useful characteristics.","container-title":"Plant Molecular Biology","DOI":"10.1007/s11103-013-0089-1","ISSN":"1573-5028","issue":"1","journalAbbreviation":"Plant Mol Biol","language":"en","page":"59-75","source":"Springer Link","title":"MicroRNA-mediated gene regulation: potential applications for plant genetic engineering","title-short":"MicroRNA-mediated gene regulation","URL":"https://doi.org/10.1007/s11103-013-0089-1","volume":"83","author":[{"family":"Zhou","given":"Man"},{"family":"Luo","given":"Hong"}],"accessed":{"date-parts":[["2019",12,9]]},"issued":{"date-parts":[["2013",9,1]]}},"label":"page"}],"schema":"https://github.com/citation-style-language/schema/raw/master/csl-citation.json"} </w:instrText>
            </w:r>
            <w:r w:rsidRPr="00837161">
              <w:fldChar w:fldCharType="separate"/>
            </w:r>
            <w:r w:rsidRPr="00271B78">
              <w:t>(Zhou &amp; Luo, 2013)</w:t>
            </w:r>
            <w:r w:rsidRPr="00837161">
              <w:fldChar w:fldCharType="end"/>
            </w:r>
            <w:r w:rsidRPr="00837161">
              <w:t xml:space="preserve">, bacterial infections </w:t>
            </w:r>
            <w:r w:rsidRPr="00837161">
              <w:fldChar w:fldCharType="begin"/>
            </w:r>
            <w:r>
              <w:instrText xml:space="preserve"> ADDIN ZOTERO_ITEM CSL_CITATION {"citationID":"Q6wkzpB2","properties":{"formattedCitation":"(Fahlgren et al., 2007)","plainCitation":"(Fahlgren et al., 2007)","noteIndex":0},"citationItems":[{"id":16774,"uris":["http://zotero.org/groups/2352922/items/FT9KR2N3"],"itemData":{"id":16774,"type":"article-journal","abstract":"In plants, microRNAs (miRNAs) comprise one of two classes of small RNAs that function primarily as negative regulators at the posttranscriptional level. Several MIRNA genes in the plant kingdom are ancient, with conservation extending between angiosperms and the mosses, whereas many others are more recently evolved. Here, we use deep sequencing and computational methods to identify, profile and analyze non-conserved MIRNA genes in Arabidopsis thaliana. 48 non-conserved MIRNA families, nearly all of which were represented by single genes, were identified. Sequence similarity analyses of miRNA precursor foldback arms revealed evidence for recent evolutionary origin of 16 MIRNA loci through inverted duplication events from protein-coding gene sequences. Interestingly, these recently evolved MIRNA genes have taken distinct paths. Whereas some non-conserved miRNAs interact with and regulate target transcripts from gene families that donated parental sequences, others have drifted to the point of non-interaction with parental gene family transcripts. Some young MIRNA loci clearly originated from one gene family but form miRNAs that target transcripts in another family. We suggest that MIRNA genes are undergoing relatively frequent birth and death, with only a subset being stabilized by integration into regulatory networks.","container-title":"PLoS ONE","DOI":"10.1371/journal.pone.0000219","ISSN":"1932-6203","issue":"2","journalAbbreviation":"PLOS ONE","language":"en","page":"e219","source":"PLoS Journals","title":"High-Throughput Sequencing of &lt;i&gt;Arabidopsis&lt;/i&gt; microRNAs: Evidence for Frequent Birth and Death of &lt;i&gt;MIRNA&lt;/i&gt; Genes","title-short":"High-Throughput Sequencing of Arabidopsis microRNAs","URL":"https://journals.plos.org/plosone/article?id=10.1371/journal.pone.0000219","volume":"2","author":[{"family":"Fahlgren","given":"Noah"},{"family":"Howell","given":"Miya D."},{"family":"Kasschau","given":"Kristin D."},{"family":"Chapman","given":"Elisabeth J."},{"family":"Sullivan","given":"Christopher M."},{"family":"Cumbie","given":"Jason S."},{"family":"Givan","given":"Scott A."},{"family":"Law","given":"Theresa F."},{"family":"Grant","given":"Sarah R."},{"family":"Dangl","given":"Jeffery L."},{"family":"Carrington","given":"James C."}],"accessed":{"date-parts":[["2019",12,9]]},"issued":{"date-parts":[["2007",2,14]]}},"label":"page"}],"schema":"https://github.com/citation-style-language/schema/raw/master/csl-citation.json"} </w:instrText>
            </w:r>
            <w:r w:rsidRPr="00837161">
              <w:fldChar w:fldCharType="separate"/>
            </w:r>
            <w:r w:rsidRPr="00271B78">
              <w:t>(</w:t>
            </w:r>
            <w:proofErr w:type="spellStart"/>
            <w:r w:rsidRPr="00271B78">
              <w:t>Fahlgren</w:t>
            </w:r>
            <w:proofErr w:type="spellEnd"/>
            <w:r w:rsidRPr="00271B78">
              <w:t xml:space="preserve"> et al., 2007)</w:t>
            </w:r>
            <w:r w:rsidRPr="00837161">
              <w:fldChar w:fldCharType="end"/>
            </w:r>
            <w:r w:rsidRPr="00837161">
              <w:t xml:space="preserve">, fungal infection </w:t>
            </w:r>
            <w:r w:rsidRPr="00837161">
              <w:fldChar w:fldCharType="begin"/>
            </w:r>
            <w:r>
              <w:instrText xml:space="preserve"> ADDIN ZOTERO_ITEM CSL_CITATION {"citationID":"EF5CDrcq","properties":{"formattedCitation":"(Campo et al., 2013)","plainCitation":"(Campo et al., 2013)","noteIndex":0},"citationItems":[{"id":16776,"uris":["http://zotero.org/groups/2352922/items/2498Z8P5"],"itemData":{"id":16776,"type":"article-journal","abstract":"Plants have evolved efficient defence mechanisms to defend themselves from pathogen attack. Although many studies have focused on the transcriptional regulation of defence responses, less is known about the involvement of microRNAs (miRNAs) as post-transcriptional regulators of gene expression in plant immunity. This work investigates miRNAs that are regulated by elicitors from the blast fungus Magnaporthe oryzae in rice (Oryza sativa). Small RNA libraries were constructed from rice tissues and subjected to high-throughput sequencing for the identification of elicitor-responsive miRNAs. Target gene expression was examined by microarray analysis. Transgenic lines were used for the analysis of miRNA functioning in disease resistance. Elicitor treatment is accompanied by dynamic alterations in the expression of a significant number of miRNAs, including new members of annotated miRNAs. Novel miRNAs from rice are proposed. We report a new rice miRNA, osa-miR7695, which negatively regulates an alternatively spliced transcript of OsNramp6 (Natural resistance-associated macrophage protein 6). This novel miRNA experienced natural and domestication selection events during evolution, and its overexpression in rice confers pathogen resistance. This study highlights an miRNA-mediated regulation of OsNramp6 in disease resistance, whilst illustrating the existence of a novel regulatory network that integrates miRNA function and mRNA processing in plant immunity.","container-title":"New Phytologist","DOI":"10.1111/nph.12292","ISSN":"1469-8137","issue":"1","language":"en","license":"© 2013 The Authors. New Phytologist © 2013 New Phytologist Trust","page":"212-227","source":"Wiley Online Library","title":"Identification of a novel microRNA (miRNA) from rice that targets an alternatively spliced transcript of the &lt;i&gt;Nramp6 (Natural resistance-associated macrophage protein 6)&lt;/i&gt; gene involved in pathogen resistance","URL":"https://nph.onlinelibrary.wiley.com/doi/a</w:instrText>
            </w:r>
            <w:r>
              <w:rPr>
                <w:rFonts w:hint="eastAsia"/>
              </w:rPr>
              <w:instrText>bs/10.1111/nph.12292","volume":"199","author":[{"family":"Campo","given":"Sonia"},{"family":"Peris</w:instrText>
            </w:r>
            <w:r>
              <w:rPr>
                <w:rFonts w:hint="eastAsia"/>
              </w:rPr>
              <w:instrText>‐</w:instrText>
            </w:r>
            <w:r>
              <w:rPr>
                <w:rFonts w:hint="eastAsia"/>
              </w:rPr>
              <w:instrText>Peris","given":"Cristina"},{"family":"Siré","given":"Christelle"},{"family":"Moreno","given":"Ana Beatriz"},{"family":"Donaire","given":"Livia"},{"family":"</w:instrText>
            </w:r>
            <w:r>
              <w:instrText xml:space="preserve">Zytnicki","given":"Matthias"},{"family":"Notredame","given":"Cedric"},{"family":"Llave","given":"César"},{"family":"Segundo","given":"Blanca San"}],"accessed":{"date-parts":[["2019",12,9]]},"issued":{"date-parts":[["2013"]]}},"label":"page"}],"schema":"https://github.com/citation-style-language/schema/raw/master/csl-citation.json"} </w:instrText>
            </w:r>
            <w:r w:rsidRPr="00837161">
              <w:fldChar w:fldCharType="separate"/>
            </w:r>
            <w:r w:rsidRPr="00271B78">
              <w:t>(Campo et al., 2013)</w:t>
            </w:r>
            <w:r w:rsidRPr="00837161">
              <w:fldChar w:fldCharType="end"/>
            </w:r>
            <w:r w:rsidRPr="00837161">
              <w:t xml:space="preserve"> and nematode parasitism </w:t>
            </w:r>
            <w:r w:rsidRPr="00837161">
              <w:fldChar w:fldCharType="begin"/>
            </w:r>
            <w:r>
              <w:instrText xml:space="preserve"> ADDIN ZOTERO_ITEM CSL_CITATION {"citationID":"BFlNyBkP","properties":{"formattedCitation":"(X. Li et al., 2012)","plainCitation":"(X. Li et al., 2012)","noteIndex":0},"citationItems":[{"id":16773,"uris":["http://zotero.org/groups/2352922/items/DGH5EZPW"],"itemData":{"id":16773,"type":"article-journal","abstract":"Soybean cyst nematode (SCN), Heterodera glycines, is the most devastating pathogen of soybean worldwide. MicroRNAs (miRNAs) are a class of small, non-coding RNAs that are known to play important role in plant stress response. However, there are few reports profiling the miRNA expression patterns during pathogen stress. We sequenced four small RNA libraries from two soybean cultivar (Hairbin xiaoheidou, SCN race 3 resistant, Liaodou 10, SCN race 3 susceptible) that grown under un-inoculated and SCN-inoculated soil. Small RNAs were mapped to soybean genome sequence, 364 known soybean miRNA genes were identified in total. In addition, 21 potential miRNA candidates were identified. Comparative analysis of miRNA profiling indicated 101 miRNAs belong to 40 families were SCN-responsive. We also found 20 miRNAs with different express pattern even between two cultivars of the same species. These findings suggest that miRNA paly important role in soybean response to SCN and have important implications for further identification of miRNAs under pathogen stress.","container-title":"PLoS ONE","DOI":"10.1371/journal.pone.0039650","ISSN":"1932-6203","issue":"6","journalAbbreviation":"PLOS ONE","language":"en","page":"e39650","source":"PLoS Journals","title":"Identification of Soybean MicroRNAs Involved in Soybean Cyst Nematode Infection by Deep Sequencing","URL":"https://journals.plos.org/plosone/article?id=10.1371/journal.pone.0039650","volume":"7","author":[{"family":"Li","given":"Xiaoyan"},{"family":"Wang","given":"Xue"},{"family":"Zhang","given":"Shaopeng"},{"family":"Liu","given":"Dawei"},{"family":"Duan","given":"Yuxi"},{"family":"Dong","given":"Wei"}],"accessed":{"date-parts":[["2019",12,9]]},"issued":{"date-parts":[["2012",6,27]]}},"label":"page"}],"schema":"https://github.com/citation-style-language/schema/raw/master/csl-citation.json"} </w:instrText>
            </w:r>
            <w:r w:rsidRPr="00837161">
              <w:fldChar w:fldCharType="separate"/>
            </w:r>
            <w:r w:rsidRPr="00271B78">
              <w:t>(X. Li et al., 2012)</w:t>
            </w:r>
            <w:r w:rsidRPr="00837161">
              <w:fldChar w:fldCharType="end"/>
            </w:r>
            <w:r w:rsidRPr="00837161">
              <w:t>. Collectively, these advancements are likely to mean that biomarkers become increasingly prominent as tools for invasive alien species applications.</w:t>
            </w:r>
          </w:p>
        </w:tc>
      </w:tr>
    </w:tbl>
    <w:p w:rsidR="00C62822" w:rsidRPr="00182699" w:rsidRDefault="00C62822" w:rsidP="00182699">
      <w:bookmarkStart w:id="3" w:name="_GoBack"/>
      <w:bookmarkEnd w:id="3"/>
    </w:p>
    <w:sectPr w:rsidR="00C62822" w:rsidRPr="0018269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DengXian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2822"/>
    <w:rsid w:val="00182699"/>
    <w:rsid w:val="005606C8"/>
    <w:rsid w:val="007B6053"/>
    <w:rsid w:val="00955D75"/>
    <w:rsid w:val="00C62822"/>
    <w:rsid w:val="00F171DB"/>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chartTrackingRefBased/>
  <w15:docId w15:val="{408D135C-C7C4-415A-BCFD-636D76DE66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GB" w:eastAsia="zh-CN"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4"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62822"/>
    <w:pPr>
      <w:spacing w:after="0"/>
    </w:pPr>
    <w:rPr>
      <w:rFonts w:ascii="Times New Roman" w:hAnsi="Times New Roman" w:cs="Times New Roman"/>
      <w:sz w:val="24"/>
      <w:lang w:val="en-US" w:eastAsia="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aliases w:val="Headings"/>
    <w:uiPriority w:val="1"/>
    <w:qFormat/>
    <w:rsid w:val="00C62822"/>
    <w:pPr>
      <w:spacing w:after="0" w:line="240" w:lineRule="auto"/>
      <w:jc w:val="both"/>
    </w:pPr>
    <w:rPr>
      <w:rFonts w:ascii="Times New Roman" w:hAnsi="Times New Roman" w:cs="Times New Roman"/>
      <w:sz w:val="24"/>
    </w:rPr>
  </w:style>
  <w:style w:type="paragraph" w:styleId="Caption">
    <w:name w:val="caption"/>
    <w:basedOn w:val="BodyText"/>
    <w:next w:val="BodyText"/>
    <w:uiPriority w:val="4"/>
    <w:qFormat/>
    <w:rsid w:val="00C62822"/>
    <w:pPr>
      <w:keepNext/>
      <w:spacing w:before="240" w:line="240" w:lineRule="auto"/>
    </w:pPr>
    <w:rPr>
      <w:rFonts w:eastAsia="Times New Roman"/>
      <w:b/>
      <w:bCs/>
      <w:szCs w:val="24"/>
      <w:lang w:val="en-AU" w:eastAsia="ja-JP"/>
    </w:rPr>
  </w:style>
  <w:style w:type="table" w:styleId="TableGridLight">
    <w:name w:val="Grid Table Light"/>
    <w:basedOn w:val="TableNormal"/>
    <w:uiPriority w:val="40"/>
    <w:rsid w:val="00C62822"/>
    <w:pPr>
      <w:spacing w:after="0" w:line="240" w:lineRule="auto"/>
    </w:pPr>
    <w:rPr>
      <w:lang w:val="en-US"/>
    </w:rPr>
    <w:tblPr>
      <w:tblInd w:w="0" w:type="nil"/>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GridTable1Light">
    <w:name w:val="Grid Table 1 Light"/>
    <w:basedOn w:val="TableNormal"/>
    <w:uiPriority w:val="46"/>
    <w:rsid w:val="00C62822"/>
    <w:pPr>
      <w:spacing w:after="0" w:line="240" w:lineRule="auto"/>
    </w:pPr>
    <w:rPr>
      <w:lang w:val="en-US"/>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styleId="BodyText">
    <w:name w:val="Body Text"/>
    <w:basedOn w:val="Normal"/>
    <w:link w:val="BodyTextChar"/>
    <w:uiPriority w:val="99"/>
    <w:semiHidden/>
    <w:unhideWhenUsed/>
    <w:rsid w:val="00C62822"/>
    <w:pPr>
      <w:spacing w:after="120"/>
    </w:pPr>
  </w:style>
  <w:style w:type="character" w:customStyle="1" w:styleId="BodyTextChar">
    <w:name w:val="Body Text Char"/>
    <w:basedOn w:val="DefaultParagraphFont"/>
    <w:link w:val="BodyText"/>
    <w:uiPriority w:val="99"/>
    <w:semiHidden/>
    <w:rsid w:val="00C62822"/>
    <w:rPr>
      <w:rFonts w:ascii="Times New Roman" w:hAnsi="Times New Roman" w:cs="Times New Roman"/>
      <w:sz w:val="24"/>
      <w:lang w:val="en-US"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4556</Words>
  <Characters>25975</Characters>
  <Application>Microsoft Office Word</Application>
  <DocSecurity>0</DocSecurity>
  <Lines>216</Lines>
  <Paragraphs>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30471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nantavisai</dc:creator>
  <cp:keywords/>
  <dc:description/>
  <cp:lastModifiedBy>Tsu Ias</cp:lastModifiedBy>
  <cp:revision>3</cp:revision>
  <dcterms:created xsi:type="dcterms:W3CDTF">2023-06-15T05:09:00Z</dcterms:created>
  <dcterms:modified xsi:type="dcterms:W3CDTF">2023-10-23T09:56:00Z</dcterms:modified>
</cp:coreProperties>
</file>